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95AF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469A5C46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2AD2D374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7506E3CD" w14:textId="47D0EF92" w:rsidR="000732F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8394D9" w14:textId="77777777" w:rsidR="005F1D50" w:rsidRPr="002B14DD" w:rsidRDefault="005F1D50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5E276F" w14:textId="77777777" w:rsidR="000732FD" w:rsidRPr="006321A6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5529" w:type="dxa"/>
        <w:tblLook w:val="01E0" w:firstRow="1" w:lastRow="1" w:firstColumn="1" w:lastColumn="1" w:noHBand="0" w:noVBand="0"/>
      </w:tblPr>
      <w:tblGrid>
        <w:gridCol w:w="4253"/>
      </w:tblGrid>
      <w:tr w:rsidR="000732FD" w:rsidRPr="006321A6" w14:paraId="34655BF3" w14:textId="77777777" w:rsidTr="005F1D50">
        <w:tc>
          <w:tcPr>
            <w:tcW w:w="4253" w:type="dxa"/>
          </w:tcPr>
          <w:p w14:paraId="299042D4" w14:textId="77777777" w:rsidR="006321A6" w:rsidRPr="006321A6" w:rsidRDefault="006321A6" w:rsidP="006321A6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6321A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14:paraId="1E608B5F" w14:textId="77777777" w:rsidR="006321A6" w:rsidRPr="006321A6" w:rsidRDefault="006321A6" w:rsidP="006321A6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6321A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Председатель УМС </w:t>
            </w:r>
          </w:p>
          <w:p w14:paraId="78CF7282" w14:textId="77777777" w:rsidR="006321A6" w:rsidRPr="006321A6" w:rsidRDefault="006321A6" w:rsidP="006321A6">
            <w:pPr>
              <w:overflowPunct w:val="0"/>
              <w:ind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6321A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ФМИ</w:t>
            </w:r>
          </w:p>
          <w:p w14:paraId="4968CB81" w14:textId="77777777" w:rsidR="006321A6" w:rsidRPr="006321A6" w:rsidRDefault="006321A6" w:rsidP="006321A6">
            <w:pPr>
              <w:overflowPunct w:val="0"/>
              <w:ind w:left="-134" w:right="27"/>
              <w:jc w:val="right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6321A6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 Ануфриева Н.И.</w:t>
            </w:r>
          </w:p>
          <w:p w14:paraId="72DA1BB1" w14:textId="77777777" w:rsidR="000732FD" w:rsidRPr="006321A6" w:rsidRDefault="000732FD" w:rsidP="00F1310E">
            <w:pPr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2F853C7D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6E5EA1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AADF3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02AC2" w14:textId="77777777" w:rsidR="000732FD" w:rsidRPr="002B14DD" w:rsidRDefault="000732FD" w:rsidP="000732F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5021B" w14:textId="1BCDC452" w:rsidR="000732FD" w:rsidRPr="002B14DD" w:rsidRDefault="000732FD" w:rsidP="000732FD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МЕТОДИЧЕСКИЕ РЕКОМЕНДАЦИИ ПО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Е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077EB768" w14:textId="77777777" w:rsidR="000732FD" w:rsidRPr="002B14DD" w:rsidRDefault="000732FD" w:rsidP="00073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ИСТОРИЯ РЕЛИГИЙ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РОССИИ</w:t>
      </w:r>
    </w:p>
    <w:p w14:paraId="234EB785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E33FA3" w14:textId="77777777" w:rsidR="000732FD" w:rsidRPr="002B14DD" w:rsidRDefault="000732FD" w:rsidP="000732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82A0F" w:rsidRPr="002D3A2F" w14:paraId="37D6359E" w14:textId="77777777" w:rsidTr="00C14106">
        <w:tc>
          <w:tcPr>
            <w:tcW w:w="4673" w:type="dxa"/>
            <w:shd w:val="clear" w:color="auto" w:fill="auto"/>
          </w:tcPr>
          <w:p w14:paraId="0DFE1975" w14:textId="77777777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82A0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2D3726BF" w14:textId="4EC4DD73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82A0F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</w:tc>
      </w:tr>
      <w:tr w:rsidR="00482A0F" w:rsidRPr="002D3A2F" w14:paraId="4B871769" w14:textId="77777777" w:rsidTr="00C14106">
        <w:tc>
          <w:tcPr>
            <w:tcW w:w="4673" w:type="dxa"/>
            <w:shd w:val="clear" w:color="auto" w:fill="auto"/>
          </w:tcPr>
          <w:p w14:paraId="2FD3CC23" w14:textId="77777777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482A0F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3AC25015" w14:textId="71705FF6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82A0F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482A0F" w:rsidRPr="002D3A2F" w14:paraId="4A6A64C8" w14:textId="77777777" w:rsidTr="00C14106">
        <w:tc>
          <w:tcPr>
            <w:tcW w:w="4673" w:type="dxa"/>
            <w:shd w:val="clear" w:color="auto" w:fill="auto"/>
          </w:tcPr>
          <w:p w14:paraId="1899F28F" w14:textId="77777777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82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11677E71" w14:textId="7F1E62BD" w:rsidR="00482A0F" w:rsidRPr="00482A0F" w:rsidRDefault="00482A0F" w:rsidP="00C141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82A0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482A0F" w:rsidRPr="002D3A2F" w14:paraId="623AC555" w14:textId="77777777" w:rsidTr="00C14106">
        <w:tc>
          <w:tcPr>
            <w:tcW w:w="4673" w:type="dxa"/>
            <w:shd w:val="clear" w:color="auto" w:fill="auto"/>
          </w:tcPr>
          <w:p w14:paraId="6EA91B2E" w14:textId="77777777" w:rsidR="00482A0F" w:rsidRPr="00482A0F" w:rsidRDefault="00482A0F" w:rsidP="00C141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68849B56" w14:textId="77777777" w:rsidR="00482A0F" w:rsidRPr="00482A0F" w:rsidRDefault="00482A0F" w:rsidP="00C14106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14:paraId="4248142C" w14:textId="77777777" w:rsidR="00482A0F" w:rsidRPr="00482A0F" w:rsidRDefault="00482A0F" w:rsidP="00C14106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14:paraId="006C4DBE" w14:textId="77777777" w:rsidR="00ED6571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EF171D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68A01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91ED5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F174F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3F75D13" w14:textId="2704E5E1" w:rsidR="00ED6571" w:rsidRDefault="00ED6571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793"/>
        <w:gridCol w:w="2523"/>
        <w:gridCol w:w="6035"/>
      </w:tblGrid>
      <w:tr w:rsidR="00763BB1" w14:paraId="00E7ADA2" w14:textId="77777777" w:rsidTr="000732FD">
        <w:trPr>
          <w:trHeight w:val="323"/>
        </w:trPr>
        <w:tc>
          <w:tcPr>
            <w:tcW w:w="793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2523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6035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0732FD">
        <w:tc>
          <w:tcPr>
            <w:tcW w:w="793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3" w:type="dxa"/>
          </w:tcPr>
          <w:p w14:paraId="4A9FB408" w14:textId="7D1B14DA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F174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6035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Тхеравада,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0732FD">
        <w:tc>
          <w:tcPr>
            <w:tcW w:w="793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523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6035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Булгарин.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lastRenderedPageBreak/>
              <w:t xml:space="preserve">Реформы патриарха Никона и возникновение старообрядчества. Интеграция народов, традиционно 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0732FD">
        <w:tc>
          <w:tcPr>
            <w:tcW w:w="793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3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5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организации Российской Федерации и задачи 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ABDA985" w:rsidR="00DF59C3" w:rsidRPr="00DF59C3" w:rsidRDefault="00DF59C3" w:rsidP="00F174F3">
      <w:pPr>
        <w:keepNext/>
        <w:keepLines/>
        <w:spacing w:after="0" w:line="259" w:lineRule="auto"/>
        <w:ind w:right="52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16137E30" w14:textId="77777777" w:rsidR="00D70277" w:rsidRPr="00422D42" w:rsidRDefault="00D70277" w:rsidP="00F8168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247852C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</w:t>
      </w:r>
      <w:r w:rsidR="00114738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 xml:space="preserve"> России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F447160" w14:textId="18D093FB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000000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000000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000000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000000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000000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2508EF" w14:textId="77777777" w:rsidR="005F1D50" w:rsidRDefault="005F1D50" w:rsidP="005F1D50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03D48029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0A455560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0E90B5C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276586D7" w14:textId="77777777" w:rsidR="005F1D50" w:rsidRPr="00EA3DB7" w:rsidRDefault="005F1D50" w:rsidP="005F1D50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6D707602" w14:textId="77777777" w:rsidR="00D70277" w:rsidRPr="006C4C58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F174F3" w:rsidRDefault="00ED6571" w:rsidP="00F174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F174F3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93D9E72" w14:textId="37EAF345" w:rsidR="00D70277" w:rsidRPr="006C4C58" w:rsidRDefault="00D70277" w:rsidP="00F174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  <w:proofErr w:type="spellStart"/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</w:t>
      </w:r>
      <w:proofErr w:type="spellEnd"/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Экклезиология,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«Русская голгофа»: церковь в советское время. Новомученики.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Экклезиология,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r>
        <w:rPr>
          <w:rFonts w:ascii="Times New Roman" w:hAnsi="Times New Roman"/>
          <w:sz w:val="24"/>
          <w:szCs w:val="24"/>
        </w:rPr>
        <w:t>нач.XX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«Русская голгофа»: церковь в советское время. Новомученики.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5016A7C4" w:rsidR="00D70277" w:rsidRDefault="00D70277" w:rsidP="00F174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</w:t>
      </w:r>
      <w:r>
        <w:rPr>
          <w:rFonts w:ascii="Times New Roman" w:hAnsi="Times New Roman"/>
          <w:sz w:val="24"/>
          <w:szCs w:val="24"/>
        </w:rPr>
        <w:lastRenderedPageBreak/>
        <w:t xml:space="preserve">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7A63D2B7" w14:textId="66EBA8AE" w:rsidR="00ED6571" w:rsidRPr="00F174F3" w:rsidRDefault="00ED6571" w:rsidP="00497377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174F3"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sectPr w:rsidR="00ED6571" w:rsidRPr="00F174F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612981">
    <w:abstractNumId w:val="1"/>
  </w:num>
  <w:num w:numId="2" w16cid:durableId="1707868237">
    <w:abstractNumId w:val="3"/>
  </w:num>
  <w:num w:numId="3" w16cid:durableId="316299532">
    <w:abstractNumId w:val="21"/>
  </w:num>
  <w:num w:numId="4" w16cid:durableId="1603224429">
    <w:abstractNumId w:val="8"/>
  </w:num>
  <w:num w:numId="5" w16cid:durableId="74134350">
    <w:abstractNumId w:val="32"/>
  </w:num>
  <w:num w:numId="6" w16cid:durableId="54014710">
    <w:abstractNumId w:val="11"/>
  </w:num>
  <w:num w:numId="7" w16cid:durableId="1130708471">
    <w:abstractNumId w:val="22"/>
  </w:num>
  <w:num w:numId="8" w16cid:durableId="1241015832">
    <w:abstractNumId w:val="9"/>
  </w:num>
  <w:num w:numId="9" w16cid:durableId="420183524">
    <w:abstractNumId w:val="7"/>
  </w:num>
  <w:num w:numId="10" w16cid:durableId="784426795">
    <w:abstractNumId w:val="36"/>
  </w:num>
  <w:num w:numId="11" w16cid:durableId="1685128109">
    <w:abstractNumId w:val="19"/>
  </w:num>
  <w:num w:numId="12" w16cid:durableId="1658682818">
    <w:abstractNumId w:val="30"/>
  </w:num>
  <w:num w:numId="13" w16cid:durableId="1721662043">
    <w:abstractNumId w:val="31"/>
  </w:num>
  <w:num w:numId="14" w16cid:durableId="1005479787">
    <w:abstractNumId w:val="35"/>
  </w:num>
  <w:num w:numId="15" w16cid:durableId="1154954034">
    <w:abstractNumId w:val="6"/>
  </w:num>
  <w:num w:numId="16" w16cid:durableId="1866627860">
    <w:abstractNumId w:val="20"/>
  </w:num>
  <w:num w:numId="17" w16cid:durableId="1054086379">
    <w:abstractNumId w:val="12"/>
  </w:num>
  <w:num w:numId="18" w16cid:durableId="246503569">
    <w:abstractNumId w:val="18"/>
  </w:num>
  <w:num w:numId="19" w16cid:durableId="18321398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292804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43014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774796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15371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63388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06646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73599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22347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 w16cid:durableId="132836224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 w16cid:durableId="1492411494">
    <w:abstractNumId w:val="15"/>
  </w:num>
  <w:num w:numId="30" w16cid:durableId="1197696304">
    <w:abstractNumId w:val="23"/>
  </w:num>
  <w:num w:numId="31" w16cid:durableId="2052265739">
    <w:abstractNumId w:val="17"/>
  </w:num>
  <w:num w:numId="32" w16cid:durableId="668412401">
    <w:abstractNumId w:val="13"/>
  </w:num>
  <w:num w:numId="33" w16cid:durableId="311564107">
    <w:abstractNumId w:val="33"/>
  </w:num>
  <w:num w:numId="34" w16cid:durableId="1657956298">
    <w:abstractNumId w:val="16"/>
  </w:num>
  <w:num w:numId="35" w16cid:durableId="2130122344">
    <w:abstractNumId w:val="24"/>
  </w:num>
  <w:num w:numId="36" w16cid:durableId="1210920557">
    <w:abstractNumId w:val="34"/>
  </w:num>
  <w:num w:numId="37" w16cid:durableId="1848330435">
    <w:abstractNumId w:val="28"/>
  </w:num>
  <w:num w:numId="38" w16cid:durableId="617372587">
    <w:abstractNumId w:val="25"/>
  </w:num>
  <w:num w:numId="39" w16cid:durableId="1091464881">
    <w:abstractNumId w:val="10"/>
  </w:num>
  <w:num w:numId="40" w16cid:durableId="1035618624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D84"/>
    <w:rsid w:val="000071C8"/>
    <w:rsid w:val="00017E4F"/>
    <w:rsid w:val="00025D73"/>
    <w:rsid w:val="0007229D"/>
    <w:rsid w:val="000732FD"/>
    <w:rsid w:val="00086C60"/>
    <w:rsid w:val="000C3726"/>
    <w:rsid w:val="000D5CEB"/>
    <w:rsid w:val="000E1857"/>
    <w:rsid w:val="001003FE"/>
    <w:rsid w:val="0010494F"/>
    <w:rsid w:val="00105AF6"/>
    <w:rsid w:val="00107192"/>
    <w:rsid w:val="00107D7F"/>
    <w:rsid w:val="00114738"/>
    <w:rsid w:val="001207AD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77ECF"/>
    <w:rsid w:val="00286621"/>
    <w:rsid w:val="002B53C6"/>
    <w:rsid w:val="002C31C4"/>
    <w:rsid w:val="002D03D5"/>
    <w:rsid w:val="002F632E"/>
    <w:rsid w:val="00313C89"/>
    <w:rsid w:val="00316A01"/>
    <w:rsid w:val="00321162"/>
    <w:rsid w:val="00322AD3"/>
    <w:rsid w:val="00366F1B"/>
    <w:rsid w:val="00371F07"/>
    <w:rsid w:val="00390E95"/>
    <w:rsid w:val="00391C11"/>
    <w:rsid w:val="003B2653"/>
    <w:rsid w:val="003C0BC0"/>
    <w:rsid w:val="00422D42"/>
    <w:rsid w:val="00433F4F"/>
    <w:rsid w:val="00434783"/>
    <w:rsid w:val="00434A30"/>
    <w:rsid w:val="00471BA5"/>
    <w:rsid w:val="00482A0F"/>
    <w:rsid w:val="004A3286"/>
    <w:rsid w:val="004A55FD"/>
    <w:rsid w:val="004A67B6"/>
    <w:rsid w:val="004B6960"/>
    <w:rsid w:val="004C3362"/>
    <w:rsid w:val="004E67CB"/>
    <w:rsid w:val="004F40D7"/>
    <w:rsid w:val="00515B17"/>
    <w:rsid w:val="005215D2"/>
    <w:rsid w:val="00523810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1D50"/>
    <w:rsid w:val="005F29EA"/>
    <w:rsid w:val="00606616"/>
    <w:rsid w:val="00611962"/>
    <w:rsid w:val="00615778"/>
    <w:rsid w:val="00623263"/>
    <w:rsid w:val="00627521"/>
    <w:rsid w:val="006321A6"/>
    <w:rsid w:val="00634C3B"/>
    <w:rsid w:val="006379A7"/>
    <w:rsid w:val="00640B19"/>
    <w:rsid w:val="00660288"/>
    <w:rsid w:val="00680B6A"/>
    <w:rsid w:val="00682FA8"/>
    <w:rsid w:val="006A1FE2"/>
    <w:rsid w:val="006C4C58"/>
    <w:rsid w:val="006D76CA"/>
    <w:rsid w:val="006D7C53"/>
    <w:rsid w:val="006E0188"/>
    <w:rsid w:val="007225F6"/>
    <w:rsid w:val="0076289C"/>
    <w:rsid w:val="00763BB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71539"/>
    <w:rsid w:val="0087329F"/>
    <w:rsid w:val="00887181"/>
    <w:rsid w:val="0089489B"/>
    <w:rsid w:val="00896F34"/>
    <w:rsid w:val="008A1A8D"/>
    <w:rsid w:val="008C115D"/>
    <w:rsid w:val="008D1BA7"/>
    <w:rsid w:val="0090528A"/>
    <w:rsid w:val="00917C7C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6A38"/>
    <w:rsid w:val="00A3277B"/>
    <w:rsid w:val="00A359FE"/>
    <w:rsid w:val="00A4102D"/>
    <w:rsid w:val="00A578E3"/>
    <w:rsid w:val="00A74957"/>
    <w:rsid w:val="00AD197C"/>
    <w:rsid w:val="00B1350E"/>
    <w:rsid w:val="00B16774"/>
    <w:rsid w:val="00B6024D"/>
    <w:rsid w:val="00B72E8D"/>
    <w:rsid w:val="00B87819"/>
    <w:rsid w:val="00BA7143"/>
    <w:rsid w:val="00BD304C"/>
    <w:rsid w:val="00BF4BC4"/>
    <w:rsid w:val="00C02F75"/>
    <w:rsid w:val="00C221BD"/>
    <w:rsid w:val="00C26DCE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B7B22"/>
    <w:rsid w:val="00DE5F7B"/>
    <w:rsid w:val="00DF59C3"/>
    <w:rsid w:val="00E119D2"/>
    <w:rsid w:val="00E42088"/>
    <w:rsid w:val="00E47092"/>
    <w:rsid w:val="00E56AD3"/>
    <w:rsid w:val="00E66F46"/>
    <w:rsid w:val="00E734D9"/>
    <w:rsid w:val="00E742C9"/>
    <w:rsid w:val="00E8001C"/>
    <w:rsid w:val="00ED6571"/>
    <w:rsid w:val="00EE5DA0"/>
    <w:rsid w:val="00F0075C"/>
    <w:rsid w:val="00F174F3"/>
    <w:rsid w:val="00F17AEB"/>
    <w:rsid w:val="00F41387"/>
    <w:rsid w:val="00F50992"/>
    <w:rsid w:val="00F64AAC"/>
    <w:rsid w:val="00F66C0F"/>
    <w:rsid w:val="00F80D6B"/>
    <w:rsid w:val="00F81685"/>
    <w:rsid w:val="00FA66E6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60C8-2E65-42C5-A62B-E94D6268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5938</Words>
  <Characters>33847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Microsoft Office User</cp:lastModifiedBy>
  <cp:revision>7</cp:revision>
  <cp:lastPrinted>2019-06-17T15:25:00Z</cp:lastPrinted>
  <dcterms:created xsi:type="dcterms:W3CDTF">2024-05-21T07:44:00Z</dcterms:created>
  <dcterms:modified xsi:type="dcterms:W3CDTF">2024-08-18T19:08:00Z</dcterms:modified>
</cp:coreProperties>
</file>